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w:t>
      </w:r>
      <w:r>
        <w:rPr>
          <w:rFonts w:ascii="Times New Roman" w:eastAsia="Times New Roman" w:hAnsi="Times New Roman" w:cs="Times New Roman"/>
          <w:sz w:val="26"/>
          <w:szCs w:val="26"/>
        </w:rPr>
        <w:t>, исполняющий обязанности мирового судьи судебного участка №3 Ханты-Мансийского судебного района Ханты-Мансийского автономного округа - Югры</w:t>
      </w:r>
      <w:r>
        <w:rPr>
          <w:rFonts w:ascii="Times New Roman" w:eastAsia="Times New Roman" w:hAnsi="Times New Roman" w:cs="Times New Roman"/>
          <w:sz w:val="26"/>
          <w:szCs w:val="26"/>
        </w:rPr>
        <w:t xml:space="preserve">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Ахмадыршиной Татьяны Павловны</w:t>
      </w:r>
      <w:r>
        <w:rPr>
          <w:rFonts w:ascii="Times New Roman" w:eastAsia="Times New Roman" w:hAnsi="Times New Roman" w:cs="Times New Roman"/>
          <w:sz w:val="26"/>
          <w:szCs w:val="26"/>
        </w:rPr>
        <w:t xml:space="preserve">, </w:t>
      </w:r>
      <w:r>
        <w:rPr>
          <w:rStyle w:val="cat-UserDefinedgrp-35rplc-1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Ахмадыршина Т.П.</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11.05.2024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17:55</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883 км автодороги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транспортным средством марки «</w:t>
      </w:r>
      <w:r>
        <w:rPr>
          <w:rStyle w:val="cat-UserDefinedgrp-36rplc-2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7rplc-21"/>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07.06.2024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Ахмадыршиной Т.П.</w:t>
      </w:r>
      <w:r>
        <w:rPr>
          <w:rFonts w:ascii="Times New Roman" w:eastAsia="Times New Roman" w:hAnsi="Times New Roman" w:cs="Times New Roman"/>
          <w:sz w:val="26"/>
          <w:szCs w:val="26"/>
        </w:rPr>
        <w:t xml:space="preserve"> о рассмотрении дела по месту </w:t>
      </w:r>
      <w:r>
        <w:rPr>
          <w:rFonts w:ascii="Times New Roman" w:eastAsia="Times New Roman" w:hAnsi="Times New Roman" w:cs="Times New Roman"/>
          <w:sz w:val="26"/>
          <w:szCs w:val="26"/>
        </w:rPr>
        <w:t>ее</w:t>
      </w:r>
      <w:r>
        <w:rPr>
          <w:rFonts w:ascii="Times New Roman" w:eastAsia="Times New Roman" w:hAnsi="Times New Roman" w:cs="Times New Roman"/>
          <w:sz w:val="26"/>
          <w:szCs w:val="26"/>
        </w:rPr>
        <w:t xml:space="preserve"> жительства удовлетворено, дело об административном правонарушении передано на рассмотрение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Ахмадыршина Т.П.</w:t>
      </w:r>
      <w:r>
        <w:rPr>
          <w:rFonts w:ascii="Times New Roman" w:eastAsia="Times New Roman" w:hAnsi="Times New Roman" w:cs="Times New Roman"/>
          <w:sz w:val="26"/>
          <w:szCs w:val="26"/>
        </w:rPr>
        <w:t xml:space="preserve"> не присутствовал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 месте, дате и времени рассмотрения </w:t>
      </w:r>
      <w:r>
        <w:rPr>
          <w:rFonts w:ascii="Times New Roman" w:eastAsia="Times New Roman" w:hAnsi="Times New Roman" w:cs="Times New Roman"/>
          <w:sz w:val="26"/>
          <w:szCs w:val="26"/>
        </w:rPr>
        <w:t>дела извещен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надлежащим образом</w:t>
      </w:r>
      <w:r>
        <w:rPr>
          <w:rFonts w:ascii="Times New Roman" w:eastAsia="Times New Roman" w:hAnsi="Times New Roman" w:cs="Times New Roman"/>
          <w:sz w:val="26"/>
          <w:szCs w:val="26"/>
        </w:rPr>
        <w:t xml:space="preserve"> телефонограммой </w:t>
      </w:r>
      <w:r>
        <w:rPr>
          <w:rFonts w:ascii="Times New Roman" w:eastAsia="Times New Roman" w:hAnsi="Times New Roman" w:cs="Times New Roman"/>
          <w:sz w:val="26"/>
          <w:szCs w:val="26"/>
        </w:rPr>
        <w:t>21.06.2024</w:t>
      </w:r>
      <w:r>
        <w:rPr>
          <w:rFonts w:ascii="Times New Roman" w:eastAsia="Times New Roman" w:hAnsi="Times New Roman" w:cs="Times New Roman"/>
          <w:sz w:val="26"/>
          <w:szCs w:val="26"/>
        </w:rPr>
        <w:t>. О причинах неявки не сообщил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об отложении рассмотрения дела не просил, </w:t>
      </w:r>
      <w:r>
        <w:rPr>
          <w:rFonts w:ascii="Times New Roman" w:eastAsia="Times New Roman" w:hAnsi="Times New Roman" w:cs="Times New Roman"/>
          <w:sz w:val="26"/>
          <w:szCs w:val="26"/>
        </w:rPr>
        <w:t>ходатайствовала о рассмотрении дела без ее участия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Ахмадыршиной Т.П.</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исследовав приложенные материалы дела, просмотрев видеозаписи на одном цифровом носителе, мировой судья пришел к выводу о наличии события административного </w:t>
      </w:r>
      <w:r>
        <w:rPr>
          <w:rFonts w:ascii="Times New Roman" w:eastAsia="Times New Roman" w:hAnsi="Times New Roman" w:cs="Times New Roman"/>
          <w:sz w:val="26"/>
          <w:szCs w:val="26"/>
        </w:rPr>
        <w:t xml:space="preserve">правонарушения, предусмотренного ч. 4 ст. 12.15 КоАП РФ, и виновности </w:t>
      </w:r>
      <w:r>
        <w:rPr>
          <w:rFonts w:ascii="Times New Roman" w:eastAsia="Times New Roman" w:hAnsi="Times New Roman" w:cs="Times New Roman"/>
          <w:sz w:val="26"/>
          <w:szCs w:val="26"/>
        </w:rPr>
        <w:t>Ахмадыршиной Т.П.</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Ахмадыршиной Т.П.</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Style w:val="cat-UserDefinedgrp-38rplc-3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883 км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Ахмадыршиной Т.П.</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объяснениями Кашалиева З.Ю</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Ахмадыршина Т.П.</w:t>
      </w:r>
      <w:r>
        <w:rPr>
          <w:rFonts w:ascii="Times New Roman" w:eastAsia="Times New Roman" w:hAnsi="Times New Roman" w:cs="Times New Roman"/>
          <w:sz w:val="26"/>
          <w:szCs w:val="26"/>
        </w:rPr>
        <w:t xml:space="preserve"> при управлении транспортным средством не проявил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Ахмадыршиной Т.П.</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Ахмадыршина Т.П.</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Ахмадыршиной Т.П.</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Смягчающих </w:t>
      </w:r>
      <w:r>
        <w:rPr>
          <w:rFonts w:ascii="Times New Roman" w:eastAsia="Times New Roman" w:hAnsi="Times New Roman" w:cs="Times New Roman"/>
          <w:sz w:val="26"/>
          <w:szCs w:val="26"/>
        </w:rPr>
        <w:t xml:space="preserve">и отягчающих </w:t>
      </w:r>
      <w:r>
        <w:rPr>
          <w:rFonts w:ascii="Times New Roman" w:eastAsia="Times New Roman" w:hAnsi="Times New Roman" w:cs="Times New Roman"/>
          <w:sz w:val="26"/>
          <w:szCs w:val="26"/>
        </w:rPr>
        <w:t>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Ахмадыршиной Т.П.</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имущественное положение, а также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смягчающих и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Учитывая изложенное и руководствуясь ст.ст.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Ахмадыршин</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Татьян</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Павловн</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виновн</w:t>
      </w:r>
      <w:r>
        <w:rPr>
          <w:rFonts w:ascii="Times New Roman" w:eastAsia="Times New Roman" w:hAnsi="Times New Roman" w:cs="Times New Roman"/>
          <w:sz w:val="26"/>
          <w:szCs w:val="26"/>
        </w:rPr>
        <w:t>ой</w:t>
      </w:r>
      <w:r>
        <w:rPr>
          <w:rFonts w:ascii="Times New Roman" w:eastAsia="Times New Roman" w:hAnsi="Times New Roman" w:cs="Times New Roman"/>
          <w:sz w:val="26"/>
          <w:szCs w:val="26"/>
        </w:rPr>
        <w:t xml:space="preserve"> в совершении правонарушения, предусмотренного ч. 4 ст. 12.15 Кодекса Российской Федерации об административных правонарушениях и назначить </w:t>
      </w:r>
      <w:r>
        <w:rPr>
          <w:rFonts w:ascii="Times New Roman" w:eastAsia="Times New Roman" w:hAnsi="Times New Roman" w:cs="Times New Roman"/>
          <w:sz w:val="26"/>
          <w:szCs w:val="26"/>
        </w:rPr>
        <w:t>ей</w:t>
      </w:r>
      <w:r>
        <w:rPr>
          <w:rFonts w:ascii="Times New Roman" w:eastAsia="Times New Roman" w:hAnsi="Times New Roman" w:cs="Times New Roman"/>
          <w:sz w:val="26"/>
          <w:szCs w:val="26"/>
        </w:rPr>
        <w:t xml:space="preserve">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18810486240910009082</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/подпись/</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5rplc-10">
    <w:name w:val="cat-UserDefined grp-35 rplc-10"/>
    <w:basedOn w:val="DefaultParagraphFont"/>
  </w:style>
  <w:style w:type="character" w:customStyle="1" w:styleId="cat-UserDefinedgrp-36rplc-20">
    <w:name w:val="cat-UserDefined grp-36 rplc-20"/>
    <w:basedOn w:val="DefaultParagraphFont"/>
  </w:style>
  <w:style w:type="character" w:customStyle="1" w:styleId="cat-UserDefinedgrp-37rplc-21">
    <w:name w:val="cat-UserDefined grp-37 rplc-21"/>
    <w:basedOn w:val="DefaultParagraphFont"/>
  </w:style>
  <w:style w:type="character" w:customStyle="1" w:styleId="cat-UserDefinedgrp-38rplc-33">
    <w:name w:val="cat-UserDefined grp-38 rplc-3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